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5DF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p>
    <w:p w14:paraId="7B1C180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7FD3B6AF"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14:paraId="78146376"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14:paraId="4138AADD"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14:paraId="35FFCA03"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14:paraId="30F593E2"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83700D1" w14:textId="77777777"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14:paraId="5127493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14:paraId="6B307D0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14:paraId="3E3A2CC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14:paraId="58D5564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0B5B4579"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14:paraId="4784F378"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27D2B7E"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に定められている全ての農用地及び対象施設の保全管理状況について、現地見回りにより確認を行う。</w:t>
      </w:r>
    </w:p>
    <w:p w14:paraId="26FA6601"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14:paraId="6F27F70C" w14:textId="77777777"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6B3D7A8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14:paraId="30924790"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76D033E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14:paraId="2C6427E5"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14:paraId="195B432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14:paraId="5D2BE32B"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14:paraId="77B6C4B4" w14:textId="77777777" w:rsidR="005234C8" w:rsidRPr="000A6D59"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39A536A9"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14:paraId="122EC23F"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14:paraId="26DE9DF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455FC8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14:paraId="068C7B72"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14:paraId="56686A67" w14:textId="77777777"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14:paraId="7EC6CEC6"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2BF78E92"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14:paraId="53254EA1"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9465D4A"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14:paraId="7B75C1D0"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14:paraId="6F9931E9" w14:textId="77777777"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14:paraId="631CA078"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5C44F9ED"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5D34ED3C" w14:textId="77777777"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14:paraId="527E0577"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14:paraId="47A48AEF"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0E72D176"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65DA5F27"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14:paraId="0581395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14:paraId="498217E6" w14:textId="77777777"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14:paraId="1EDBA3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14:paraId="6B0D006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w:t>
      </w:r>
      <w:r w:rsidRPr="005234C8">
        <w:rPr>
          <w:rFonts w:ascii="ＭＳ 明朝" w:eastAsia="ＭＳ 明朝" w:hAnsi="Times New Roman" w:cs="ＭＳ 明朝" w:hint="eastAsia"/>
          <w:color w:val="000000"/>
          <w:kern w:val="0"/>
          <w:sz w:val="24"/>
          <w:szCs w:val="24"/>
        </w:rPr>
        <w:lastRenderedPageBreak/>
        <w:t>適正に行われていることを確認する。</w:t>
      </w:r>
    </w:p>
    <w:p w14:paraId="6CD52EBB" w14:textId="77777777"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14:paraId="496EA881"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14:paraId="35433E59"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14:paraId="6FBB9BDE"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14:paraId="0B57950E"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14:paraId="39FDE1E0"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14:paraId="5BCF1328"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321EDBFE"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64EA7FC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1334F3B3"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14:paraId="7175DDE9"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14:paraId="51CF233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1286BA4B"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5A58365" w14:textId="77777777"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14:paraId="49AEA3B7"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14:paraId="4BCB7E2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14:paraId="58B3230A"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により確認を行う。</w:t>
      </w:r>
    </w:p>
    <w:p w14:paraId="6B54090D"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（２）市町村長は、あらかじめ、荒廃農地調査の調査結果等を活用し、対象組織の対象農用地における遊休農地発生防止のための保全管理を行う必要のある農用地の有無を確認するものとする。</w:t>
      </w:r>
    </w:p>
    <w:p w14:paraId="11EC306F"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lastRenderedPageBreak/>
        <w:t>確認野帳（別記３－１様式第２号）を作成する。</w:t>
      </w:r>
    </w:p>
    <w:p w14:paraId="2D0ADDC7"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14:paraId="14EAF1C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14:paraId="144990D9"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14:paraId="6546817D"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14:paraId="5CE27C2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14:paraId="77C141D9"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14:paraId="4C081AB1"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14:paraId="6DF4D1B0"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14:paraId="641D4186"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14:paraId="5167A3CB"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14:paraId="10039517" w14:textId="04E2B91F" w:rsidR="005234C8" w:rsidRPr="005234C8" w:rsidRDefault="005234C8" w:rsidP="00895E2B">
      <w:pPr>
        <w:tabs>
          <w:tab w:val="left" w:pos="734"/>
        </w:tabs>
        <w:overflowPunct w:val="0"/>
        <w:ind w:leftChars="100" w:left="210" w:firstLineChars="100" w:firstLine="240"/>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w:t>
      </w:r>
      <w:r>
        <w:rPr>
          <w:rFonts w:ascii="Times New Roman" w:eastAsia="ＭＳ 明朝" w:hAnsi="Times New Roman" w:cs="ＭＳ 明朝" w:hint="eastAsia"/>
          <w:color w:val="000000"/>
          <w:kern w:val="0"/>
          <w:sz w:val="24"/>
          <w:szCs w:val="24"/>
        </w:rPr>
        <w:t>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w:t>
      </w:r>
      <w:r w:rsidRPr="005234C8">
        <w:rPr>
          <w:rFonts w:ascii="Times New Roman" w:eastAsia="ＭＳ 明朝" w:hAnsi="Times New Roman" w:cs="ＭＳ 明朝" w:hint="eastAsia"/>
          <w:color w:val="000000"/>
          <w:kern w:val="0"/>
          <w:sz w:val="24"/>
          <w:szCs w:val="24"/>
        </w:rPr>
        <w:t>対象組織に</w:t>
      </w:r>
      <w:r w:rsidR="00D85B30">
        <w:rPr>
          <w:rFonts w:ascii="Times New Roman" w:eastAsia="ＭＳ 明朝" w:hAnsi="Times New Roman" w:cs="ＭＳ 明朝" w:hint="eastAsia"/>
          <w:color w:val="000000"/>
          <w:kern w:val="0"/>
          <w:sz w:val="24"/>
          <w:szCs w:val="24"/>
        </w:rPr>
        <w:t>必要に応じて</w:t>
      </w:r>
      <w:r w:rsidRPr="005234C8">
        <w:rPr>
          <w:rFonts w:ascii="Times New Roman" w:eastAsia="ＭＳ 明朝" w:hAnsi="Times New Roman" w:cs="ＭＳ 明朝" w:hint="eastAsia"/>
          <w:color w:val="000000"/>
          <w:kern w:val="0"/>
          <w:sz w:val="24"/>
          <w:szCs w:val="24"/>
        </w:rPr>
        <w:t>送付する。</w:t>
      </w:r>
    </w:p>
    <w:p w14:paraId="747B4DDF" w14:textId="77777777"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14:paraId="39675EE5"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14:paraId="4DB04CD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14:paraId="7F8078D1"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14:paraId="7EA7EA46"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14:paraId="0AD3857B" w14:textId="77777777" w:rsid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14:paraId="6FB47182" w14:textId="77777777" w:rsidR="00310504" w:rsidRP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４　対象組織の構成員でないこと。</w:t>
      </w:r>
    </w:p>
    <w:sectPr w:rsidR="00310504" w:rsidRPr="00D85B3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EE8" w14:textId="77777777" w:rsidR="005234C8" w:rsidRDefault="005234C8" w:rsidP="00310504">
      <w:r>
        <w:separator/>
      </w:r>
    </w:p>
  </w:endnote>
  <w:endnote w:type="continuationSeparator" w:id="0">
    <w:p w14:paraId="1CB7CD03" w14:textId="77777777"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069" w14:textId="77777777" w:rsidR="005234C8" w:rsidRDefault="005234C8" w:rsidP="00310504">
      <w:r>
        <w:separator/>
      </w:r>
    </w:p>
  </w:footnote>
  <w:footnote w:type="continuationSeparator" w:id="0">
    <w:p w14:paraId="0CE79F05" w14:textId="77777777"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C8"/>
    <w:rsid w:val="0002739E"/>
    <w:rsid w:val="000A6D59"/>
    <w:rsid w:val="00310504"/>
    <w:rsid w:val="005234C8"/>
    <w:rsid w:val="00895E2B"/>
    <w:rsid w:val="00C71F18"/>
    <w:rsid w:val="00D74E4A"/>
    <w:rsid w:val="00D82018"/>
    <w:rsid w:val="00D85B30"/>
    <w:rsid w:val="00DA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B6BCB"/>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85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DE0D-50C2-4B29-8270-78317A5A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牧口　泰之</cp:lastModifiedBy>
  <cp:revision>5</cp:revision>
  <cp:lastPrinted>2020-04-02T09:01:00Z</cp:lastPrinted>
  <dcterms:created xsi:type="dcterms:W3CDTF">2019-03-14T11:54:00Z</dcterms:created>
  <dcterms:modified xsi:type="dcterms:W3CDTF">2022-03-23T10:37:00Z</dcterms:modified>
</cp:coreProperties>
</file>